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541EB" w14:textId="77777777" w:rsidR="00670F7D" w:rsidRDefault="00670F7D">
      <w:pPr>
        <w:pStyle w:val="Corpsdetexte"/>
        <w:spacing w:before="4"/>
        <w:rPr>
          <w:sz w:val="17"/>
        </w:rPr>
      </w:pPr>
    </w:p>
    <w:p w14:paraId="25CE8633" w14:textId="78116820" w:rsidR="00670F7D" w:rsidRDefault="00670F7D">
      <w:pPr>
        <w:rPr>
          <w:sz w:val="17"/>
        </w:rPr>
      </w:pPr>
    </w:p>
    <w:p w14:paraId="4ED493FA" w14:textId="03574C19" w:rsidR="00D92FA9" w:rsidRDefault="00D92FA9">
      <w:pPr>
        <w:rPr>
          <w:sz w:val="17"/>
        </w:rPr>
      </w:pPr>
    </w:p>
    <w:p w14:paraId="6A262698" w14:textId="7C929B34" w:rsidR="00A95EC7" w:rsidRPr="00A95EC7" w:rsidRDefault="00A95EC7" w:rsidP="00A95EC7">
      <w:pPr>
        <w:pStyle w:val="Corpsdetexte"/>
        <w:spacing w:before="95" w:line="324" w:lineRule="auto"/>
        <w:ind w:left="168" w:right="149"/>
        <w:jc w:val="both"/>
        <w:rPr>
          <w:b/>
          <w:color w:val="494949"/>
          <w:lang w:val="en-GB"/>
        </w:rPr>
      </w:pPr>
      <w:r w:rsidRPr="00A95EC7">
        <w:rPr>
          <w:b/>
          <w:color w:val="494949"/>
          <w:lang w:val="en-GB"/>
        </w:rPr>
        <w:t>In accordance with the regulations in force, J.CHAHINE CAPITAL informs its clients and/or unit holders of UCITS managed by it, of the manner in which they can fill any claim.</w:t>
      </w:r>
    </w:p>
    <w:p w14:paraId="30EA94FF" w14:textId="77777777" w:rsidR="00156125" w:rsidRPr="00A95EC7" w:rsidRDefault="00156125" w:rsidP="00D92FA9">
      <w:pPr>
        <w:pStyle w:val="Corpsdetexte"/>
        <w:spacing w:before="95" w:line="324" w:lineRule="auto"/>
        <w:ind w:left="168" w:right="149"/>
        <w:jc w:val="both"/>
        <w:rPr>
          <w:b/>
          <w:color w:val="494949"/>
          <w:lang w:val="en-GB"/>
        </w:rPr>
      </w:pPr>
    </w:p>
    <w:p w14:paraId="0DC57D05" w14:textId="54F1F6D0" w:rsidR="00156125" w:rsidRPr="00156125" w:rsidRDefault="00A275C5" w:rsidP="00A95EC7">
      <w:pPr>
        <w:pStyle w:val="Paragraphedeliste"/>
        <w:numPr>
          <w:ilvl w:val="0"/>
          <w:numId w:val="1"/>
        </w:numPr>
        <w:tabs>
          <w:tab w:val="left" w:pos="319"/>
        </w:tabs>
        <w:rPr>
          <w:b/>
          <w:sz w:val="18"/>
        </w:rPr>
      </w:pPr>
      <w:r>
        <w:rPr>
          <w:b/>
          <w:color w:val="7C66EF"/>
          <w:sz w:val="18"/>
        </w:rPr>
        <w:t xml:space="preserve">- </w:t>
      </w:r>
      <w:r w:rsidR="00A95EC7" w:rsidRPr="00A95EC7">
        <w:rPr>
          <w:b/>
          <w:color w:val="7C66EF"/>
          <w:sz w:val="18"/>
        </w:rPr>
        <w:t>Definition of a claim</w:t>
      </w:r>
    </w:p>
    <w:p w14:paraId="03E5CFA4" w14:textId="77777777" w:rsidR="00156125" w:rsidRPr="00AF48BB" w:rsidRDefault="00156125" w:rsidP="00156125">
      <w:pPr>
        <w:pStyle w:val="Paragraphedeliste"/>
        <w:tabs>
          <w:tab w:val="left" w:pos="319"/>
        </w:tabs>
        <w:ind w:left="318" w:firstLine="0"/>
        <w:rPr>
          <w:b/>
          <w:sz w:val="20"/>
        </w:rPr>
      </w:pPr>
    </w:p>
    <w:p w14:paraId="3EBE5751" w14:textId="77777777" w:rsidR="00A95EC7" w:rsidRPr="00A95EC7" w:rsidRDefault="00A95EC7" w:rsidP="00A95EC7">
      <w:pPr>
        <w:pStyle w:val="Corpsdetexte"/>
        <w:spacing w:line="324" w:lineRule="auto"/>
        <w:ind w:left="113" w:right="108"/>
        <w:jc w:val="both"/>
        <w:rPr>
          <w:color w:val="4A4A49"/>
        </w:rPr>
      </w:pPr>
      <w:r w:rsidRPr="00A95EC7">
        <w:rPr>
          <w:color w:val="4A4A49"/>
          <w:lang w:val="en-GB"/>
        </w:rPr>
        <w:t xml:space="preserve">A claim is a complaint lodged with the company to have a right recognized or to rectify a loss. </w:t>
      </w:r>
      <w:r w:rsidRPr="00A95EC7">
        <w:rPr>
          <w:color w:val="4A4A49"/>
        </w:rPr>
        <w:t>In this sense, simple requests for information or explanations cannot be considered as claims.</w:t>
      </w:r>
    </w:p>
    <w:p w14:paraId="124B225C" w14:textId="06210110" w:rsidR="00156125" w:rsidRPr="00A95EC7" w:rsidRDefault="00156125" w:rsidP="00A95EC7">
      <w:pPr>
        <w:pStyle w:val="Corpsdetexte"/>
        <w:spacing w:before="95" w:line="324" w:lineRule="auto"/>
        <w:ind w:right="149"/>
        <w:jc w:val="both"/>
        <w:rPr>
          <w:color w:val="494949"/>
          <w:lang w:val="en-GB"/>
        </w:rPr>
      </w:pPr>
    </w:p>
    <w:p w14:paraId="38A91C33" w14:textId="00EF23AC" w:rsidR="00156125" w:rsidRPr="00156125" w:rsidRDefault="00A275C5" w:rsidP="00156125">
      <w:pPr>
        <w:pStyle w:val="Paragraphedeliste"/>
        <w:numPr>
          <w:ilvl w:val="0"/>
          <w:numId w:val="1"/>
        </w:numPr>
        <w:tabs>
          <w:tab w:val="left" w:pos="319"/>
        </w:tabs>
        <w:rPr>
          <w:b/>
          <w:sz w:val="18"/>
        </w:rPr>
      </w:pPr>
      <w:r>
        <w:rPr>
          <w:b/>
          <w:color w:val="7C66EF"/>
          <w:sz w:val="18"/>
        </w:rPr>
        <w:t>-</w:t>
      </w:r>
      <w:r w:rsidR="00156125" w:rsidRPr="002726C0">
        <w:rPr>
          <w:b/>
          <w:color w:val="7C66EF"/>
          <w:spacing w:val="-1"/>
          <w:sz w:val="18"/>
        </w:rPr>
        <w:t xml:space="preserve"> </w:t>
      </w:r>
      <w:r w:rsidR="00A95EC7">
        <w:rPr>
          <w:b/>
          <w:color w:val="7C66EF"/>
          <w:sz w:val="18"/>
        </w:rPr>
        <w:t>Modalities</w:t>
      </w:r>
    </w:p>
    <w:p w14:paraId="31AAC6A2" w14:textId="774EEAA8" w:rsidR="00156125" w:rsidRPr="00AF48BB" w:rsidRDefault="00156125" w:rsidP="00156125">
      <w:pPr>
        <w:tabs>
          <w:tab w:val="left" w:pos="319"/>
        </w:tabs>
        <w:rPr>
          <w:b/>
          <w:sz w:val="20"/>
          <w:szCs w:val="20"/>
        </w:rPr>
      </w:pPr>
    </w:p>
    <w:p w14:paraId="40FF2A0E" w14:textId="57601851" w:rsidR="00A95EC7" w:rsidRPr="00A95EC7" w:rsidRDefault="00A95EC7" w:rsidP="00A95EC7">
      <w:pPr>
        <w:pStyle w:val="Corpsdetexte"/>
        <w:spacing w:before="95" w:line="324" w:lineRule="auto"/>
        <w:ind w:left="168" w:right="149"/>
        <w:jc w:val="both"/>
        <w:rPr>
          <w:color w:val="494949"/>
          <w:lang w:val="en-GB"/>
        </w:rPr>
      </w:pPr>
      <w:r w:rsidRPr="00A95EC7">
        <w:rPr>
          <w:color w:val="494949"/>
          <w:lang w:val="en-GB"/>
        </w:rPr>
        <w:t>The complainant is first invited to contact his usual contact at J. Chahine Capital.</w:t>
      </w:r>
    </w:p>
    <w:p w14:paraId="4D721D8E" w14:textId="02B75030" w:rsidR="002726C0" w:rsidRDefault="00A95EC7" w:rsidP="00A95EC7">
      <w:pPr>
        <w:pStyle w:val="Corpsdetexte"/>
        <w:spacing w:before="95" w:line="324" w:lineRule="auto"/>
        <w:ind w:left="168" w:right="149"/>
        <w:jc w:val="both"/>
        <w:rPr>
          <w:color w:val="494949"/>
          <w:lang w:val="en-GB"/>
        </w:rPr>
      </w:pPr>
      <w:r w:rsidRPr="00A95EC7">
        <w:rPr>
          <w:color w:val="494949"/>
          <w:lang w:val="en-GB"/>
        </w:rPr>
        <w:t>If he has not received a satisfactory answer, he can send a letter, preferably by registered mail with acknowledgment of receipt, to J. Chahine Capital at the following address</w:t>
      </w:r>
    </w:p>
    <w:p w14:paraId="4D8BEE05" w14:textId="77777777" w:rsidR="00A95EC7" w:rsidRPr="00A95EC7" w:rsidRDefault="00A95EC7" w:rsidP="00A95EC7">
      <w:pPr>
        <w:pStyle w:val="Corpsdetexte"/>
        <w:spacing w:before="95" w:line="324" w:lineRule="auto"/>
        <w:ind w:left="168" w:right="149"/>
        <w:jc w:val="both"/>
        <w:rPr>
          <w:color w:val="494949"/>
          <w:lang w:val="en-GB"/>
        </w:rPr>
      </w:pPr>
    </w:p>
    <w:p w14:paraId="76F9428C" w14:textId="77777777" w:rsidR="00A95EC7" w:rsidRPr="00A95EC7" w:rsidRDefault="00A95EC7" w:rsidP="00A95EC7">
      <w:pPr>
        <w:pStyle w:val="Corpsdetexte"/>
        <w:spacing w:before="95" w:line="324" w:lineRule="auto"/>
        <w:ind w:left="168" w:right="149"/>
        <w:jc w:val="both"/>
        <w:rPr>
          <w:color w:val="494949"/>
          <w:lang w:val="en-GB"/>
        </w:rPr>
      </w:pPr>
      <w:r w:rsidRPr="00A95EC7">
        <w:rPr>
          <w:color w:val="494949"/>
          <w:lang w:val="en-GB"/>
        </w:rPr>
        <w:t xml:space="preserve">J. Chahine Capital </w:t>
      </w:r>
    </w:p>
    <w:p w14:paraId="37B5826E" w14:textId="6CC5AFE1" w:rsidR="00A95EC7" w:rsidRPr="00A95EC7" w:rsidRDefault="00A95EC7" w:rsidP="00A95EC7">
      <w:pPr>
        <w:pStyle w:val="Corpsdetexte"/>
        <w:spacing w:before="95" w:line="324" w:lineRule="auto"/>
        <w:ind w:left="168" w:right="149"/>
        <w:jc w:val="both"/>
        <w:rPr>
          <w:color w:val="494949"/>
          <w:lang w:val="en-GB"/>
        </w:rPr>
      </w:pPr>
      <w:r w:rsidRPr="00A95EC7">
        <w:rPr>
          <w:color w:val="494949"/>
          <w:lang w:val="en-GB"/>
        </w:rPr>
        <w:t>Claims handling</w:t>
      </w:r>
    </w:p>
    <w:p w14:paraId="49597F8A" w14:textId="77777777" w:rsidR="00A95EC7" w:rsidRPr="00A95EC7" w:rsidRDefault="00A95EC7" w:rsidP="00A95EC7">
      <w:pPr>
        <w:pStyle w:val="Corpsdetexte"/>
        <w:spacing w:before="95" w:line="324" w:lineRule="auto"/>
        <w:ind w:left="168" w:right="149"/>
        <w:jc w:val="both"/>
        <w:rPr>
          <w:color w:val="494949"/>
        </w:rPr>
      </w:pPr>
      <w:r w:rsidRPr="00A95EC7">
        <w:rPr>
          <w:color w:val="494949"/>
        </w:rPr>
        <w:t>10-12 boulevard Roosevelt</w:t>
      </w:r>
    </w:p>
    <w:p w14:paraId="00116EC0" w14:textId="097EB936" w:rsidR="002726C0" w:rsidRPr="00A95EC7" w:rsidRDefault="00A95EC7" w:rsidP="00A95EC7">
      <w:pPr>
        <w:pStyle w:val="Corpsdetexte"/>
        <w:spacing w:before="95" w:line="324" w:lineRule="auto"/>
        <w:ind w:left="168" w:right="149"/>
        <w:jc w:val="both"/>
        <w:rPr>
          <w:color w:val="494949"/>
        </w:rPr>
      </w:pPr>
      <w:r w:rsidRPr="00A95EC7">
        <w:rPr>
          <w:color w:val="494949"/>
        </w:rPr>
        <w:t>L-2450 Luxembourg (Grand Duchy of Luxembourg).</w:t>
      </w:r>
    </w:p>
    <w:p w14:paraId="0323B31D" w14:textId="77777777" w:rsidR="002726C0" w:rsidRPr="002726C0" w:rsidRDefault="002726C0" w:rsidP="002726C0">
      <w:pPr>
        <w:pStyle w:val="Corpsdetexte"/>
        <w:spacing w:before="95" w:line="324" w:lineRule="auto"/>
        <w:ind w:right="149"/>
        <w:jc w:val="both"/>
        <w:rPr>
          <w:color w:val="494949"/>
        </w:rPr>
      </w:pPr>
    </w:p>
    <w:p w14:paraId="57CD9475" w14:textId="13F7310A" w:rsidR="005634CF" w:rsidRPr="005634CF" w:rsidRDefault="005634CF" w:rsidP="005634CF">
      <w:pPr>
        <w:pStyle w:val="Corpsdetexte"/>
        <w:spacing w:before="95" w:line="324" w:lineRule="auto"/>
        <w:ind w:left="168" w:right="149"/>
        <w:jc w:val="both"/>
        <w:rPr>
          <w:color w:val="494949"/>
          <w:lang w:val="en-GB"/>
        </w:rPr>
      </w:pPr>
      <w:r w:rsidRPr="005634CF">
        <w:rPr>
          <w:color w:val="494949"/>
          <w:lang w:val="en-GB"/>
        </w:rPr>
        <w:t>He will make sure to include, in each of his communications, all the relevant information relating to his claim (concerned UCITS, date, amount, correspondence exchanged with J. Chahine Capital staff, etc.).</w:t>
      </w:r>
    </w:p>
    <w:p w14:paraId="1C1D3B78" w14:textId="6A4ADC61" w:rsidR="005634CF" w:rsidRPr="005634CF" w:rsidRDefault="005634CF" w:rsidP="005634CF">
      <w:pPr>
        <w:pStyle w:val="Corpsdetexte"/>
        <w:spacing w:before="95" w:line="324" w:lineRule="auto"/>
        <w:ind w:left="168" w:right="149"/>
        <w:jc w:val="both"/>
        <w:rPr>
          <w:color w:val="494949"/>
          <w:lang w:val="en-GB"/>
        </w:rPr>
      </w:pPr>
      <w:r w:rsidRPr="005634CF">
        <w:rPr>
          <w:color w:val="494949"/>
          <w:lang w:val="en-GB"/>
        </w:rPr>
        <w:t>The request will then be processed by the person designated by J. Chahine Capital as Claims Handling Manager.</w:t>
      </w:r>
    </w:p>
    <w:p w14:paraId="58377E0D" w14:textId="287F26EA" w:rsidR="005634CF" w:rsidRPr="005634CF" w:rsidRDefault="005634CF" w:rsidP="005634CF">
      <w:pPr>
        <w:pStyle w:val="Corpsdetexte"/>
        <w:spacing w:before="95" w:line="324" w:lineRule="auto"/>
        <w:ind w:left="168" w:right="149"/>
        <w:jc w:val="both"/>
        <w:rPr>
          <w:color w:val="494949"/>
          <w:lang w:val="en-GB"/>
        </w:rPr>
      </w:pPr>
      <w:r w:rsidRPr="005634CF">
        <w:rPr>
          <w:color w:val="494949"/>
          <w:lang w:val="en-GB"/>
        </w:rPr>
        <w:t>When the complainant has not obtained a response or a satisfactory response at the level at which he first lodged his claim, he has the option of escalating the claim to the level of the General Management of J. Chahine Capital.</w:t>
      </w:r>
    </w:p>
    <w:p w14:paraId="4706F260" w14:textId="77777777" w:rsidR="00156125" w:rsidRPr="005634CF" w:rsidRDefault="00156125" w:rsidP="002726C0">
      <w:pPr>
        <w:pStyle w:val="Corpsdetexte"/>
        <w:spacing w:before="95" w:line="324" w:lineRule="auto"/>
        <w:ind w:left="168" w:right="149"/>
        <w:jc w:val="both"/>
        <w:rPr>
          <w:color w:val="494949"/>
          <w:lang w:val="en-GB"/>
        </w:rPr>
      </w:pPr>
    </w:p>
    <w:p w14:paraId="008DAA44" w14:textId="3D66B7A8" w:rsidR="00156125" w:rsidRPr="00156125" w:rsidRDefault="00A275C5" w:rsidP="005634CF">
      <w:pPr>
        <w:pStyle w:val="Paragraphedeliste"/>
        <w:numPr>
          <w:ilvl w:val="0"/>
          <w:numId w:val="1"/>
        </w:numPr>
        <w:tabs>
          <w:tab w:val="left" w:pos="319"/>
        </w:tabs>
        <w:rPr>
          <w:b/>
          <w:sz w:val="18"/>
        </w:rPr>
      </w:pPr>
      <w:r>
        <w:rPr>
          <w:b/>
          <w:color w:val="7C66EF"/>
          <w:sz w:val="18"/>
        </w:rPr>
        <w:t>-</w:t>
      </w:r>
      <w:r w:rsidR="00156125" w:rsidRPr="002726C0">
        <w:rPr>
          <w:b/>
          <w:color w:val="7C66EF"/>
          <w:spacing w:val="-1"/>
          <w:sz w:val="18"/>
        </w:rPr>
        <w:t xml:space="preserve"> </w:t>
      </w:r>
      <w:r w:rsidR="005634CF" w:rsidRPr="005634CF">
        <w:rPr>
          <w:b/>
          <w:color w:val="7C66EF"/>
          <w:sz w:val="18"/>
        </w:rPr>
        <w:t>Claim processing time</w:t>
      </w:r>
      <w:bookmarkStart w:id="0" w:name="_GoBack"/>
      <w:bookmarkEnd w:id="0"/>
    </w:p>
    <w:p w14:paraId="64E3F463" w14:textId="77777777" w:rsidR="00156125" w:rsidRPr="00AF48BB" w:rsidRDefault="00156125" w:rsidP="00156125">
      <w:pPr>
        <w:pStyle w:val="Paragraphedeliste"/>
        <w:tabs>
          <w:tab w:val="left" w:pos="319"/>
        </w:tabs>
        <w:ind w:left="318" w:firstLine="0"/>
        <w:rPr>
          <w:b/>
          <w:sz w:val="20"/>
          <w:szCs w:val="21"/>
        </w:rPr>
      </w:pPr>
    </w:p>
    <w:p w14:paraId="67C91343" w14:textId="6F9DEC74" w:rsidR="005634CF" w:rsidRPr="005634CF" w:rsidRDefault="005634CF" w:rsidP="005634CF">
      <w:pPr>
        <w:pStyle w:val="Corpsdetexte"/>
        <w:spacing w:before="95" w:line="324" w:lineRule="auto"/>
        <w:ind w:left="168" w:right="149"/>
        <w:jc w:val="both"/>
        <w:rPr>
          <w:color w:val="494949"/>
          <w:lang w:val="en-GB"/>
        </w:rPr>
      </w:pPr>
      <w:r w:rsidRPr="005634CF">
        <w:rPr>
          <w:color w:val="494949"/>
          <w:lang w:val="en-GB"/>
        </w:rPr>
        <w:t xml:space="preserve">Le </w:t>
      </w:r>
      <w:r w:rsidRPr="005634CF">
        <w:rPr>
          <w:color w:val="494949"/>
          <w:lang w:val="en-GB"/>
        </w:rPr>
        <w:t>The Claims Handling Manager must provide the complainant with a written acknowledgment of receipt within a period of time which must not exceed ten working days from receipt of the claim, unless the response itself has been provided within this period.</w:t>
      </w:r>
    </w:p>
    <w:p w14:paraId="36864F22" w14:textId="2B06BAC9" w:rsidR="002726C0" w:rsidRPr="005634CF" w:rsidRDefault="005634CF" w:rsidP="005634CF">
      <w:pPr>
        <w:pStyle w:val="Corpsdetexte"/>
        <w:spacing w:before="95" w:line="324" w:lineRule="auto"/>
        <w:ind w:left="168" w:right="149"/>
        <w:jc w:val="both"/>
        <w:rPr>
          <w:color w:val="494949"/>
          <w:lang w:val="en-GB"/>
        </w:rPr>
      </w:pPr>
      <w:r w:rsidRPr="005634CF">
        <w:rPr>
          <w:color w:val="494949"/>
          <w:lang w:val="en-GB"/>
        </w:rPr>
        <w:t>The Claims Handling Manager ensures in any case that a response is provided without unnecessary delay and always within a period not exceeding one month between the date of receipt of the claim and the date of sending the response to the complainant. If a response cannot be provided within this period, the complainant is informed of the roots of the delay and of the date on which his examination is likely to be completed.</w:t>
      </w:r>
    </w:p>
    <w:p w14:paraId="1947629D" w14:textId="77777777" w:rsidR="00156125" w:rsidRPr="005634CF" w:rsidRDefault="00156125" w:rsidP="002726C0">
      <w:pPr>
        <w:pStyle w:val="Corpsdetexte"/>
        <w:spacing w:before="95" w:line="324" w:lineRule="auto"/>
        <w:ind w:left="168" w:right="149"/>
        <w:jc w:val="both"/>
        <w:rPr>
          <w:color w:val="494949"/>
          <w:lang w:val="en-GB"/>
        </w:rPr>
      </w:pPr>
    </w:p>
    <w:p w14:paraId="46D66FDE" w14:textId="149A38A0" w:rsidR="00156125" w:rsidRPr="005634CF" w:rsidRDefault="00A275C5" w:rsidP="005634CF">
      <w:pPr>
        <w:pStyle w:val="Paragraphedeliste"/>
        <w:numPr>
          <w:ilvl w:val="0"/>
          <w:numId w:val="1"/>
        </w:numPr>
        <w:tabs>
          <w:tab w:val="left" w:pos="319"/>
        </w:tabs>
        <w:rPr>
          <w:b/>
          <w:sz w:val="18"/>
          <w:lang w:val="en-GB"/>
        </w:rPr>
      </w:pPr>
      <w:r w:rsidRPr="005634CF">
        <w:rPr>
          <w:b/>
          <w:color w:val="7C66EF"/>
          <w:sz w:val="18"/>
          <w:lang w:val="en-GB"/>
        </w:rPr>
        <w:t>-</w:t>
      </w:r>
      <w:r w:rsidR="00156125" w:rsidRPr="005634CF">
        <w:rPr>
          <w:b/>
          <w:color w:val="7C66EF"/>
          <w:spacing w:val="-1"/>
          <w:sz w:val="18"/>
          <w:lang w:val="en-GB"/>
        </w:rPr>
        <w:t xml:space="preserve"> </w:t>
      </w:r>
      <w:r w:rsidR="005634CF" w:rsidRPr="005634CF">
        <w:rPr>
          <w:b/>
          <w:color w:val="7C66EF"/>
          <w:sz w:val="18"/>
          <w:lang w:val="en-GB"/>
        </w:rPr>
        <w:t>Out-of-court resolution of claims</w:t>
      </w:r>
    </w:p>
    <w:p w14:paraId="0A14179A" w14:textId="77777777" w:rsidR="00156125" w:rsidRPr="005634CF" w:rsidRDefault="00156125" w:rsidP="00156125">
      <w:pPr>
        <w:pStyle w:val="Paragraphedeliste"/>
        <w:tabs>
          <w:tab w:val="left" w:pos="319"/>
        </w:tabs>
        <w:ind w:left="318" w:firstLine="0"/>
        <w:rPr>
          <w:b/>
          <w:sz w:val="20"/>
          <w:szCs w:val="21"/>
          <w:lang w:val="en-GB"/>
        </w:rPr>
      </w:pPr>
    </w:p>
    <w:p w14:paraId="1905EEA0" w14:textId="1CE36B02" w:rsidR="005634CF" w:rsidRPr="005634CF" w:rsidRDefault="005634CF" w:rsidP="005634CF">
      <w:pPr>
        <w:pStyle w:val="Corpsdetexte"/>
        <w:spacing w:before="95" w:line="324" w:lineRule="auto"/>
        <w:ind w:left="168" w:right="149"/>
        <w:jc w:val="both"/>
        <w:rPr>
          <w:color w:val="494949"/>
          <w:lang w:val="en-GB"/>
        </w:rPr>
      </w:pPr>
      <w:r w:rsidRPr="005634CF">
        <w:rPr>
          <w:color w:val="494949"/>
          <w:lang w:val="en-GB"/>
        </w:rPr>
        <w:t>When the complainant has not obtained a response or a satisfactory response within one month of sending his claim, he may submit his request to the CSSF, in accordance with CSSF Regulation 16-07 relating to the out-of-court resolution of claims.</w:t>
      </w:r>
    </w:p>
    <w:p w14:paraId="1EBF2302" w14:textId="13A01CB6" w:rsidR="002726C0" w:rsidRPr="005634CF" w:rsidRDefault="005634CF" w:rsidP="005634CF">
      <w:pPr>
        <w:pStyle w:val="Corpsdetexte"/>
        <w:spacing w:before="95" w:line="324" w:lineRule="auto"/>
        <w:ind w:left="168" w:right="149"/>
        <w:jc w:val="both"/>
        <w:rPr>
          <w:color w:val="494949"/>
          <w:lang w:val="en-GB"/>
        </w:rPr>
      </w:pPr>
      <w:r w:rsidRPr="005634CF">
        <w:rPr>
          <w:color w:val="494949"/>
          <w:lang w:val="en-GB"/>
        </w:rPr>
        <w:t>Direct access to the CSSF is guaranteed; its contact details and the procedures to be carried out are easily accessible on its website (www.cssf.lu).</w:t>
      </w:r>
    </w:p>
    <w:p w14:paraId="470F1407" w14:textId="61AC361B" w:rsidR="00D92FA9" w:rsidRPr="005634CF" w:rsidRDefault="00D92FA9">
      <w:pPr>
        <w:rPr>
          <w:sz w:val="17"/>
          <w:lang w:val="en-GB"/>
        </w:rPr>
      </w:pPr>
    </w:p>
    <w:p w14:paraId="26A49362" w14:textId="77777777" w:rsidR="005634CF" w:rsidRPr="005634CF" w:rsidRDefault="005634CF">
      <w:pPr>
        <w:rPr>
          <w:sz w:val="17"/>
          <w:lang w:val="en-GB"/>
        </w:rPr>
        <w:sectPr w:rsidR="005634CF" w:rsidRPr="005634CF">
          <w:headerReference w:type="default" r:id="rId8"/>
          <w:footerReference w:type="default" r:id="rId9"/>
          <w:pgSz w:w="11910" w:h="16840"/>
          <w:pgMar w:top="1920" w:right="560" w:bottom="880" w:left="540" w:header="596" w:footer="684" w:gutter="0"/>
          <w:cols w:space="720"/>
        </w:sectPr>
      </w:pPr>
    </w:p>
    <w:p w14:paraId="3A18B7EE" w14:textId="77777777" w:rsidR="00670F7D" w:rsidRPr="005634CF" w:rsidRDefault="00670F7D" w:rsidP="00A275C5">
      <w:pPr>
        <w:spacing w:before="8"/>
        <w:ind w:right="6066"/>
        <w:rPr>
          <w:sz w:val="16"/>
          <w:lang w:val="en-GB"/>
        </w:rPr>
      </w:pPr>
    </w:p>
    <w:sectPr w:rsidR="00670F7D" w:rsidRPr="005634CF">
      <w:headerReference w:type="default" r:id="rId10"/>
      <w:type w:val="continuous"/>
      <w:pgSz w:w="11910" w:h="16840"/>
      <w:pgMar w:top="1440" w:right="560" w:bottom="880" w:left="540" w:header="570" w:footer="684" w:gutter="0"/>
      <w:cols w:num="2" w:space="720" w:equalWidth="0">
        <w:col w:w="2103" w:space="572"/>
        <w:col w:w="81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BD659" w14:textId="77777777" w:rsidR="00BC392F" w:rsidRDefault="00BC392F">
      <w:r>
        <w:separator/>
      </w:r>
    </w:p>
  </w:endnote>
  <w:endnote w:type="continuationSeparator" w:id="0">
    <w:p w14:paraId="7967FCBC" w14:textId="77777777" w:rsidR="00BC392F" w:rsidRDefault="00BC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E826" w14:textId="019766FC" w:rsidR="00370164" w:rsidRPr="008D04E2" w:rsidRDefault="00370164" w:rsidP="00370164">
    <w:pPr>
      <w:framePr w:w="2521" w:wrap="none" w:vAnchor="text" w:hAnchor="page" w:x="8691" w:y="1"/>
      <w:tabs>
        <w:tab w:val="center" w:pos="4536"/>
        <w:tab w:val="right" w:pos="9072"/>
      </w:tabs>
      <w:jc w:val="right"/>
      <w:rPr>
        <w:color w:val="4A4A4A"/>
        <w:sz w:val="14"/>
        <w:szCs w:val="14"/>
      </w:rPr>
    </w:pPr>
    <w:r>
      <w:rPr>
        <w:color w:val="4A4A4A"/>
        <w:sz w:val="14"/>
        <w:szCs w:val="14"/>
      </w:rPr>
      <w:br/>
    </w:r>
    <w:r w:rsidRPr="008D04E2">
      <w:rPr>
        <w:color w:val="4A4A4A"/>
        <w:sz w:val="14"/>
        <w:szCs w:val="14"/>
      </w:rPr>
      <w:t xml:space="preserve">Page </w:t>
    </w:r>
    <w:sdt>
      <w:sdtPr>
        <w:rPr>
          <w:color w:val="4A4A4A"/>
          <w:sz w:val="14"/>
          <w:szCs w:val="14"/>
        </w:rPr>
        <w:id w:val="-243568605"/>
        <w:docPartObj>
          <w:docPartGallery w:val="Page Numbers (Bottom of Page)"/>
          <w:docPartUnique/>
        </w:docPartObj>
      </w:sdtPr>
      <w:sdtEndPr/>
      <w:sdtContent>
        <w:r w:rsidRPr="008D04E2">
          <w:rPr>
            <w:color w:val="4A4A4A"/>
            <w:sz w:val="14"/>
            <w:szCs w:val="14"/>
          </w:rPr>
          <w:fldChar w:fldCharType="begin"/>
        </w:r>
        <w:r w:rsidRPr="008D04E2">
          <w:rPr>
            <w:color w:val="4A4A4A"/>
            <w:sz w:val="14"/>
            <w:szCs w:val="14"/>
          </w:rPr>
          <w:instrText xml:space="preserve"> PAGE </w:instrText>
        </w:r>
        <w:r w:rsidRPr="008D04E2">
          <w:rPr>
            <w:color w:val="4A4A4A"/>
            <w:sz w:val="14"/>
            <w:szCs w:val="14"/>
          </w:rPr>
          <w:fldChar w:fldCharType="separate"/>
        </w:r>
        <w:r w:rsidR="005634CF">
          <w:rPr>
            <w:noProof/>
            <w:color w:val="4A4A4A"/>
            <w:sz w:val="14"/>
            <w:szCs w:val="14"/>
          </w:rPr>
          <w:t>1</w:t>
        </w:r>
        <w:r w:rsidRPr="008D04E2">
          <w:rPr>
            <w:color w:val="4A4A4A"/>
            <w:sz w:val="14"/>
            <w:szCs w:val="14"/>
          </w:rPr>
          <w:fldChar w:fldCharType="end"/>
        </w:r>
      </w:sdtContent>
    </w:sdt>
  </w:p>
  <w:p w14:paraId="31B128E4" w14:textId="48A417EF" w:rsidR="00E53011" w:rsidRDefault="00370164" w:rsidP="00370164">
    <w:pPr>
      <w:pStyle w:val="Pieddepage"/>
    </w:pPr>
    <w:r>
      <w:rPr>
        <w:noProof/>
        <w:lang w:val="en-GB" w:eastAsia="en-GB"/>
      </w:rPr>
      <mc:AlternateContent>
        <mc:Choice Requires="wps">
          <w:drawing>
            <wp:anchor distT="0" distB="0" distL="114300" distR="114300" simplePos="0" relativeHeight="251665920" behindDoc="1" locked="0" layoutInCell="1" allowOverlap="1" wp14:anchorId="4B3E88A0" wp14:editId="1870788B">
              <wp:simplePos x="0" y="0"/>
              <wp:positionH relativeFrom="page">
                <wp:posOffset>411932</wp:posOffset>
              </wp:positionH>
              <wp:positionV relativeFrom="page">
                <wp:posOffset>10157988</wp:posOffset>
              </wp:positionV>
              <wp:extent cx="2032503" cy="149382"/>
              <wp:effectExtent l="0" t="0" r="6350"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503" cy="149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7ED9" w14:textId="715A4624" w:rsidR="00370164" w:rsidRDefault="00370164" w:rsidP="00370164">
                          <w:pPr>
                            <w:spacing w:before="15"/>
                            <w:ind w:left="20"/>
                            <w:rPr>
                              <w:sz w:val="14"/>
                            </w:rPr>
                          </w:pPr>
                          <w:r>
                            <w:rPr>
                              <w:b/>
                              <w:color w:val="020559"/>
                              <w:spacing w:val="-1"/>
                              <w:sz w:val="14"/>
                            </w:rPr>
                            <w:t>CHAHINE</w:t>
                          </w:r>
                          <w:r>
                            <w:rPr>
                              <w:b/>
                              <w:color w:val="020559"/>
                              <w:spacing w:val="-7"/>
                              <w:sz w:val="14"/>
                            </w:rPr>
                            <w:t xml:space="preserve"> </w:t>
                          </w:r>
                          <w:r>
                            <w:rPr>
                              <w:b/>
                              <w:color w:val="020559"/>
                              <w:sz w:val="14"/>
                            </w:rPr>
                            <w:t>CAPITAL</w:t>
                          </w:r>
                          <w:r>
                            <w:rPr>
                              <w:b/>
                              <w:color w:val="020559"/>
                              <w:spacing w:val="-8"/>
                              <w:sz w:val="14"/>
                            </w:rPr>
                            <w:t xml:space="preserve"> </w:t>
                          </w:r>
                          <w:r>
                            <w:rPr>
                              <w:color w:val="494949"/>
                              <w:sz w:val="14"/>
                            </w:rPr>
                            <w:t>|</w:t>
                          </w:r>
                          <w:r w:rsidR="00A95EC7">
                            <w:rPr>
                              <w:color w:val="494949"/>
                              <w:spacing w:val="-6"/>
                              <w:sz w:val="14"/>
                            </w:rPr>
                            <w:t xml:space="preserve"> </w:t>
                          </w:r>
                          <w:r w:rsidR="005634CF">
                            <w:rPr>
                              <w:color w:val="494949"/>
                              <w:spacing w:val="-6"/>
                              <w:sz w:val="14"/>
                            </w:rPr>
                            <w:t>Claims handling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88A0" id="_x0000_t202" coordsize="21600,21600" o:spt="202" path="m,l,21600r21600,l21600,xe">
              <v:stroke joinstyle="miter"/>
              <v:path gradientshapeok="t" o:connecttype="rect"/>
            </v:shapetype>
            <v:shape id="Zone de texte 2" o:spid="_x0000_s1026" type="#_x0000_t202" style="position:absolute;margin-left:32.45pt;margin-top:799.85pt;width:160.05pt;height:11.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" filled="f" stroked="f">
              <v:textbox inset="0,0,0,0">
                <w:txbxContent>
                  <w:p w14:paraId="43DD7ED9" w14:textId="715A4624" w:rsidR="00370164" w:rsidRDefault="00370164" w:rsidP="00370164">
                    <w:pPr>
                      <w:spacing w:before="15"/>
                      <w:ind w:left="20"/>
                      <w:rPr>
                        <w:sz w:val="14"/>
                      </w:rPr>
                    </w:pPr>
                    <w:r>
                      <w:rPr>
                        <w:b/>
                        <w:color w:val="020559"/>
                        <w:spacing w:val="-1"/>
                        <w:sz w:val="14"/>
                      </w:rPr>
                      <w:t>CHAHINE</w:t>
                    </w:r>
                    <w:r>
                      <w:rPr>
                        <w:b/>
                        <w:color w:val="020559"/>
                        <w:spacing w:val="-7"/>
                        <w:sz w:val="14"/>
                      </w:rPr>
                      <w:t xml:space="preserve"> </w:t>
                    </w:r>
                    <w:r>
                      <w:rPr>
                        <w:b/>
                        <w:color w:val="020559"/>
                        <w:sz w:val="14"/>
                      </w:rPr>
                      <w:t>CAPITAL</w:t>
                    </w:r>
                    <w:r>
                      <w:rPr>
                        <w:b/>
                        <w:color w:val="020559"/>
                        <w:spacing w:val="-8"/>
                        <w:sz w:val="14"/>
                      </w:rPr>
                      <w:t xml:space="preserve"> </w:t>
                    </w:r>
                    <w:r>
                      <w:rPr>
                        <w:color w:val="494949"/>
                        <w:sz w:val="14"/>
                      </w:rPr>
                      <w:t>|</w:t>
                    </w:r>
                    <w:r w:rsidR="00A95EC7">
                      <w:rPr>
                        <w:color w:val="494949"/>
                        <w:spacing w:val="-6"/>
                        <w:sz w:val="14"/>
                      </w:rPr>
                      <w:t xml:space="preserve"> </w:t>
                    </w:r>
                    <w:r w:rsidR="005634CF">
                      <w:rPr>
                        <w:color w:val="494949"/>
                        <w:spacing w:val="-6"/>
                        <w:sz w:val="14"/>
                      </w:rPr>
                      <w:t>Claims handling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968" behindDoc="1" locked="0" layoutInCell="1" allowOverlap="1" wp14:anchorId="7B10D52B" wp14:editId="1003A17B">
              <wp:simplePos x="0" y="0"/>
              <wp:positionH relativeFrom="page">
                <wp:posOffset>422910</wp:posOffset>
              </wp:positionH>
              <wp:positionV relativeFrom="page">
                <wp:posOffset>10083165</wp:posOffset>
              </wp:positionV>
              <wp:extent cx="6696075"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350">
                        <a:solidFill>
                          <a:srgbClr val="4949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CEAC6" id="Connecteur droit 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pt,793.95pt" to="560.55pt,7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" strokecolor="#494949" strokeweight=".5pt">
              <w10:wrap anchorx="page" anchory="page"/>
            </v:line>
          </w:pict>
        </mc:Fallback>
      </mc:AlternateContent>
    </w:r>
    <w:r>
      <w:rPr>
        <w:noProof/>
        <w:lang w:val="en-GB" w:eastAsia="en-GB"/>
      </w:rPr>
      <w:t xml:space="preserve"> </w:t>
    </w:r>
    <w:r w:rsidR="00E53011">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61F6" w14:textId="77777777" w:rsidR="00BC392F" w:rsidRDefault="00BC392F">
      <w:r>
        <w:separator/>
      </w:r>
    </w:p>
  </w:footnote>
  <w:footnote w:type="continuationSeparator" w:id="0">
    <w:p w14:paraId="5FCD1F7B" w14:textId="77777777" w:rsidR="00BC392F" w:rsidRDefault="00BC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4B6" w14:textId="0C1AB192" w:rsidR="00670F7D" w:rsidRDefault="00637351">
    <w:pPr>
      <w:pStyle w:val="Corpsdetexte"/>
      <w:spacing w:line="14" w:lineRule="auto"/>
      <w:rPr>
        <w:sz w:val="20"/>
      </w:rPr>
    </w:pPr>
    <w:r>
      <w:rPr>
        <w:noProof/>
        <w:lang w:val="en-GB" w:eastAsia="en-GB"/>
      </w:rPr>
      <w:drawing>
        <wp:anchor distT="0" distB="0" distL="114300" distR="114300" simplePos="0" relativeHeight="251654656" behindDoc="1" locked="0" layoutInCell="1" allowOverlap="1" wp14:anchorId="75ACF9ED" wp14:editId="07FCE646">
          <wp:simplePos x="0" y="0"/>
          <wp:positionH relativeFrom="column">
            <wp:posOffset>101600</wp:posOffset>
          </wp:positionH>
          <wp:positionV relativeFrom="paragraph">
            <wp:posOffset>76835</wp:posOffset>
          </wp:positionV>
          <wp:extent cx="2298700" cy="457200"/>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 24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98700" cy="4572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BC392F">
      <w:pict w14:anchorId="3054BF39">
        <v:shapetype id="_x0000_t202" coordsize="21600,21600" o:spt="202" path="m,l,21600r21600,l21600,xe">
          <v:stroke joinstyle="miter"/>
          <v:path gradientshapeok="t" o:connecttype="rect"/>
        </v:shapetype>
        <v:shape id="docshape78" o:spid="_x0000_s2054" type="#_x0000_t202" alt="" style="position:absolute;margin-left:332pt;margin-top:28.65pt;width:230.5pt;height:39.05pt;z-index:-16202752;mso-wrap-style:square;mso-wrap-edited:f;mso-width-percent:0;mso-height-percent:0;mso-position-horizontal-relative:page;mso-position-vertical-relative:page;mso-width-percent:0;mso-height-percent:0;v-text-anchor:top" filled="f" stroked="f">
          <v:textbox style="mso-next-textbox:#docshape78" inset="0,0,0,0">
            <w:txbxContent>
              <w:p w14:paraId="4E4184D4" w14:textId="6910F369" w:rsidR="00670F7D" w:rsidRPr="00751F63" w:rsidRDefault="00A95EC7" w:rsidP="00751F63">
                <w:pPr>
                  <w:ind w:left="1319"/>
                  <w:jc w:val="right"/>
                  <w:rPr>
                    <w:b/>
                    <w:bCs/>
                    <w:sz w:val="26"/>
                  </w:rPr>
                </w:pPr>
                <w:r>
                  <w:rPr>
                    <w:b/>
                    <w:bCs/>
                    <w:color w:val="7C66EF"/>
                    <w:spacing w:val="-2"/>
                    <w:sz w:val="26"/>
                  </w:rPr>
                  <w:t>Claims</w:t>
                </w:r>
              </w:p>
              <w:p w14:paraId="42919CE5" w14:textId="51FD4F97" w:rsidR="00670F7D" w:rsidRPr="00751F63" w:rsidRDefault="00A95EC7" w:rsidP="00751F63">
                <w:pPr>
                  <w:ind w:left="20"/>
                  <w:jc w:val="right"/>
                  <w:rPr>
                    <w:sz w:val="26"/>
                  </w:rPr>
                </w:pPr>
                <w:r>
                  <w:rPr>
                    <w:color w:val="7C66EF"/>
                    <w:spacing w:val="-1"/>
                    <w:sz w:val="26"/>
                  </w:rPr>
                  <w:t>HANDLING</w:t>
                </w:r>
              </w:p>
            </w:txbxContent>
          </v:textbox>
          <w10:wrap anchorx="page" anchory="page"/>
        </v:shape>
      </w:pict>
    </w:r>
    <w:r w:rsidR="00BC392F">
      <w:pict w14:anchorId="0A611B27">
        <v:rect id="docshape77" o:spid="_x0000_s2053" alt="" style="position:absolute;margin-left:35.45pt;margin-top:82.7pt;width:524.4pt;height:14.15pt;z-index:-16203264;mso-wrap-edited:f;mso-width-percent:0;mso-height-percent:0;mso-position-horizontal-relative:page;mso-position-vertical-relative:page;mso-width-percent:0;mso-height-percent:0" fillcolor="#020559"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556D" w14:textId="0F9759B3" w:rsidR="00670F7D" w:rsidRDefault="00637351">
    <w:pPr>
      <w:pStyle w:val="Corpsdetexte"/>
      <w:spacing w:line="14" w:lineRule="auto"/>
      <w:rPr>
        <w:sz w:val="20"/>
      </w:rPr>
    </w:pPr>
    <w:r>
      <w:rPr>
        <w:noProof/>
        <w:lang w:val="en-GB" w:eastAsia="en-GB"/>
      </w:rPr>
      <w:drawing>
        <wp:anchor distT="0" distB="0" distL="114300" distR="114300" simplePos="0" relativeHeight="251660800" behindDoc="1" locked="0" layoutInCell="1" allowOverlap="1" wp14:anchorId="74F1EF41" wp14:editId="00747ACA">
          <wp:simplePos x="0" y="0"/>
          <wp:positionH relativeFrom="column">
            <wp:posOffset>101600</wp:posOffset>
          </wp:positionH>
          <wp:positionV relativeFrom="paragraph">
            <wp:posOffset>93345</wp:posOffset>
          </wp:positionV>
          <wp:extent cx="2298700" cy="457200"/>
          <wp:effectExtent l="0" t="0" r="0" b="0"/>
          <wp:wrapNone/>
          <wp:docPr id="250" name="Image 25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 24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98700" cy="4572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BC392F">
      <w:pict w14:anchorId="6DED2C66">
        <v:shapetype id="_x0000_t202" coordsize="21600,21600" o:spt="202" path="m,l,21600r21600,l21600,xe">
          <v:stroke joinstyle="miter"/>
          <v:path gradientshapeok="t" o:connecttype="rect"/>
        </v:shapetype>
        <v:shape id="docshape116" o:spid="_x0000_s2050" type="#_x0000_t202" alt="" style="position:absolute;margin-left:306pt;margin-top:28pt;width:257.2pt;height:42.8pt;z-index:-16193536;mso-wrap-style:square;mso-wrap-edited:f;mso-width-percent:0;mso-height-percent:0;mso-position-horizontal-relative:page;mso-position-vertical-relative:page;mso-width-percent:0;mso-height-percent:0;v-text-anchor:top" filled="f" stroked="f">
          <v:textbox inset="0,0,0,0">
            <w:txbxContent>
              <w:p w14:paraId="430F0166" w14:textId="77777777" w:rsidR="00670F7D" w:rsidRPr="00B92BAC" w:rsidRDefault="00C64C44" w:rsidP="00B92BAC">
                <w:pPr>
                  <w:spacing w:before="137"/>
                  <w:ind w:left="864"/>
                  <w:jc w:val="right"/>
                  <w:rPr>
                    <w:b/>
                    <w:bCs/>
                    <w:sz w:val="32"/>
                  </w:rPr>
                </w:pPr>
                <w:r w:rsidRPr="00B92BAC">
                  <w:rPr>
                    <w:b/>
                    <w:bCs/>
                    <w:color w:val="7C66EF"/>
                    <w:spacing w:val="-2"/>
                    <w:sz w:val="32"/>
                  </w:rPr>
                  <w:t>SICAV</w:t>
                </w:r>
                <w:r w:rsidRPr="00B92BAC">
                  <w:rPr>
                    <w:b/>
                    <w:bCs/>
                    <w:color w:val="7C66EF"/>
                    <w:spacing w:val="-16"/>
                    <w:sz w:val="32"/>
                  </w:rPr>
                  <w:t xml:space="preserve"> </w:t>
                </w:r>
                <w:r w:rsidRPr="00B92BAC">
                  <w:rPr>
                    <w:b/>
                    <w:bCs/>
                    <w:color w:val="7C66EF"/>
                    <w:spacing w:val="-2"/>
                    <w:sz w:val="32"/>
                  </w:rPr>
                  <w:t>DIGITAL</w:t>
                </w:r>
                <w:r w:rsidRPr="00B92BAC">
                  <w:rPr>
                    <w:b/>
                    <w:bCs/>
                    <w:color w:val="7C66EF"/>
                    <w:spacing w:val="-16"/>
                    <w:sz w:val="32"/>
                  </w:rPr>
                  <w:t xml:space="preserve"> </w:t>
                </w:r>
                <w:r w:rsidRPr="00B92BAC">
                  <w:rPr>
                    <w:b/>
                    <w:bCs/>
                    <w:color w:val="7C66EF"/>
                    <w:spacing w:val="-2"/>
                    <w:sz w:val="32"/>
                  </w:rPr>
                  <w:t>FUNDS</w:t>
                </w:r>
              </w:p>
              <w:p w14:paraId="31B57ACD" w14:textId="77777777" w:rsidR="00670F7D" w:rsidRPr="00B92BAC" w:rsidRDefault="00C64C44" w:rsidP="00B92BAC">
                <w:pPr>
                  <w:ind w:left="23"/>
                  <w:jc w:val="right"/>
                  <w:rPr>
                    <w:b/>
                    <w:bCs/>
                    <w:sz w:val="26"/>
                  </w:rPr>
                </w:pPr>
                <w:r w:rsidRPr="00B92BAC">
                  <w:rPr>
                    <w:b/>
                    <w:bCs/>
                    <w:color w:val="020559"/>
                    <w:sz w:val="26"/>
                  </w:rPr>
                  <w:t>Informations</w:t>
                </w:r>
                <w:r w:rsidRPr="00B92BAC">
                  <w:rPr>
                    <w:b/>
                    <w:bCs/>
                    <w:color w:val="020559"/>
                    <w:spacing w:val="-6"/>
                    <w:sz w:val="26"/>
                  </w:rPr>
                  <w:t xml:space="preserve"> </w:t>
                </w:r>
                <w:r w:rsidRPr="00B92BAC">
                  <w:rPr>
                    <w:b/>
                    <w:bCs/>
                    <w:color w:val="020559"/>
                    <w:sz w:val="26"/>
                  </w:rPr>
                  <w:t>clés</w:t>
                </w:r>
                <w:r w:rsidRPr="00B92BAC">
                  <w:rPr>
                    <w:b/>
                    <w:bCs/>
                    <w:color w:val="020559"/>
                    <w:spacing w:val="-7"/>
                    <w:sz w:val="26"/>
                  </w:rPr>
                  <w:t xml:space="preserve"> </w:t>
                </w:r>
                <w:r w:rsidRPr="00B92BAC">
                  <w:rPr>
                    <w:b/>
                    <w:bCs/>
                    <w:color w:val="020559"/>
                    <w:sz w:val="26"/>
                  </w:rPr>
                  <w:t>pour</w:t>
                </w:r>
                <w:r w:rsidRPr="00B92BAC">
                  <w:rPr>
                    <w:b/>
                    <w:bCs/>
                    <w:color w:val="020559"/>
                    <w:spacing w:val="-13"/>
                    <w:sz w:val="26"/>
                  </w:rPr>
                  <w:t xml:space="preserve"> </w:t>
                </w:r>
                <w:r w:rsidRPr="00B92BAC">
                  <w:rPr>
                    <w:b/>
                    <w:bCs/>
                    <w:color w:val="020559"/>
                    <w:sz w:val="26"/>
                  </w:rPr>
                  <w:t>l’investisseur</w:t>
                </w:r>
              </w:p>
            </w:txbxContent>
          </v:textbox>
          <w10:wrap anchorx="page" anchory="page"/>
        </v:shape>
      </w:pict>
    </w:r>
    <w:r w:rsidR="00BC392F">
      <w:pict w14:anchorId="30A23705">
        <v:rect id="docshape115" o:spid="_x0000_s2049" alt="" style="position:absolute;margin-left:35.45pt;margin-top:82.7pt;width:524.4pt;height:14.15pt;z-index:-16194048;mso-wrap-edited:f;mso-width-percent:0;mso-height-percent:0;mso-position-horizontal-relative:page;mso-position-vertical-relative:page;mso-width-percent:0;mso-height-percent:0" fillcolor="#020559"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8BF"/>
    <w:multiLevelType w:val="multilevel"/>
    <w:tmpl w:val="F64C602C"/>
    <w:lvl w:ilvl="0">
      <w:start w:val="1"/>
      <w:numFmt w:val="decimal"/>
      <w:lvlText w:val="%1."/>
      <w:lvlJc w:val="left"/>
      <w:pPr>
        <w:ind w:left="427" w:hanging="245"/>
      </w:pPr>
      <w:rPr>
        <w:rFonts w:ascii="Arial" w:eastAsia="Arial" w:hAnsi="Arial" w:cs="Arial" w:hint="default"/>
        <w:b/>
        <w:bCs/>
        <w:i w:val="0"/>
        <w:iCs w:val="0"/>
        <w:color w:val="7C66EF"/>
        <w:spacing w:val="-1"/>
        <w:w w:val="100"/>
        <w:sz w:val="22"/>
        <w:szCs w:val="22"/>
        <w:lang w:val="fr-FR" w:eastAsia="en-US" w:bidi="ar-SA"/>
      </w:rPr>
    </w:lvl>
    <w:lvl w:ilvl="1">
      <w:numFmt w:val="bullet"/>
      <w:lvlText w:val="•"/>
      <w:lvlJc w:val="left"/>
      <w:pPr>
        <w:ind w:left="904" w:hanging="245"/>
      </w:pPr>
      <w:rPr>
        <w:rFonts w:hint="default"/>
        <w:lang w:val="fr-FR" w:eastAsia="en-US" w:bidi="ar-SA"/>
      </w:rPr>
    </w:lvl>
    <w:lvl w:ilvl="2">
      <w:numFmt w:val="bullet"/>
      <w:lvlText w:val="•"/>
      <w:lvlJc w:val="left"/>
      <w:pPr>
        <w:ind w:left="1389" w:hanging="245"/>
      </w:pPr>
      <w:rPr>
        <w:rFonts w:hint="default"/>
        <w:lang w:val="fr-FR" w:eastAsia="en-US" w:bidi="ar-SA"/>
      </w:rPr>
    </w:lvl>
    <w:lvl w:ilvl="3">
      <w:numFmt w:val="bullet"/>
      <w:lvlText w:val="•"/>
      <w:lvlJc w:val="left"/>
      <w:pPr>
        <w:ind w:left="1874" w:hanging="245"/>
      </w:pPr>
      <w:rPr>
        <w:rFonts w:hint="default"/>
        <w:lang w:val="fr-FR" w:eastAsia="en-US" w:bidi="ar-SA"/>
      </w:rPr>
    </w:lvl>
    <w:lvl w:ilvl="4">
      <w:numFmt w:val="bullet"/>
      <w:lvlText w:val="•"/>
      <w:lvlJc w:val="left"/>
      <w:pPr>
        <w:ind w:left="2359" w:hanging="245"/>
      </w:pPr>
      <w:rPr>
        <w:rFonts w:hint="default"/>
        <w:lang w:val="fr-FR" w:eastAsia="en-US" w:bidi="ar-SA"/>
      </w:rPr>
    </w:lvl>
    <w:lvl w:ilvl="5">
      <w:numFmt w:val="bullet"/>
      <w:lvlText w:val="•"/>
      <w:lvlJc w:val="left"/>
      <w:pPr>
        <w:ind w:left="2844" w:hanging="245"/>
      </w:pPr>
      <w:rPr>
        <w:rFonts w:hint="default"/>
        <w:lang w:val="fr-FR" w:eastAsia="en-US" w:bidi="ar-SA"/>
      </w:rPr>
    </w:lvl>
    <w:lvl w:ilvl="6">
      <w:numFmt w:val="bullet"/>
      <w:lvlText w:val="•"/>
      <w:lvlJc w:val="left"/>
      <w:pPr>
        <w:ind w:left="3329" w:hanging="245"/>
      </w:pPr>
      <w:rPr>
        <w:rFonts w:hint="default"/>
        <w:lang w:val="fr-FR" w:eastAsia="en-US" w:bidi="ar-SA"/>
      </w:rPr>
    </w:lvl>
    <w:lvl w:ilvl="7">
      <w:numFmt w:val="bullet"/>
      <w:lvlText w:val="•"/>
      <w:lvlJc w:val="left"/>
      <w:pPr>
        <w:ind w:left="3814" w:hanging="245"/>
      </w:pPr>
      <w:rPr>
        <w:rFonts w:hint="default"/>
        <w:lang w:val="fr-FR" w:eastAsia="en-US" w:bidi="ar-SA"/>
      </w:rPr>
    </w:lvl>
    <w:lvl w:ilvl="8">
      <w:numFmt w:val="bullet"/>
      <w:lvlText w:val="•"/>
      <w:lvlJc w:val="left"/>
      <w:pPr>
        <w:ind w:left="4299" w:hanging="245"/>
      </w:pPr>
      <w:rPr>
        <w:rFonts w:hint="default"/>
        <w:lang w:val="fr-FR" w:eastAsia="en-US" w:bidi="ar-SA"/>
      </w:rPr>
    </w:lvl>
  </w:abstractNum>
  <w:abstractNum w:abstractNumId="1" w15:restartNumberingAfterBreak="0">
    <w:nsid w:val="2EEA0B90"/>
    <w:multiLevelType w:val="hybridMultilevel"/>
    <w:tmpl w:val="87D69B2A"/>
    <w:lvl w:ilvl="0" w:tplc="48B4AD2E">
      <w:start w:val="1"/>
      <w:numFmt w:val="decimal"/>
      <w:lvlText w:val="%1."/>
      <w:lvlJc w:val="left"/>
      <w:pPr>
        <w:ind w:left="336" w:hanging="221"/>
      </w:pPr>
      <w:rPr>
        <w:rFonts w:ascii="Calibri" w:eastAsia="Calibri" w:hAnsi="Calibri" w:cs="Calibri" w:hint="default"/>
        <w:b/>
        <w:bCs/>
        <w:w w:val="100"/>
        <w:sz w:val="22"/>
        <w:szCs w:val="22"/>
        <w:lang w:val="fr-FR" w:eastAsia="en-US" w:bidi="ar-SA"/>
      </w:rPr>
    </w:lvl>
    <w:lvl w:ilvl="1" w:tplc="335CD0AE">
      <w:numFmt w:val="bullet"/>
      <w:lvlText w:val="•"/>
      <w:lvlJc w:val="left"/>
      <w:pPr>
        <w:ind w:left="1520" w:hanging="221"/>
      </w:pPr>
      <w:rPr>
        <w:rFonts w:hint="default"/>
        <w:lang w:val="fr-FR" w:eastAsia="en-US" w:bidi="ar-SA"/>
      </w:rPr>
    </w:lvl>
    <w:lvl w:ilvl="2" w:tplc="18827FDA">
      <w:numFmt w:val="bullet"/>
      <w:lvlText w:val="•"/>
      <w:lvlJc w:val="left"/>
      <w:pPr>
        <w:ind w:left="2385" w:hanging="221"/>
      </w:pPr>
      <w:rPr>
        <w:rFonts w:hint="default"/>
        <w:lang w:val="fr-FR" w:eastAsia="en-US" w:bidi="ar-SA"/>
      </w:rPr>
    </w:lvl>
    <w:lvl w:ilvl="3" w:tplc="70143D1C">
      <w:numFmt w:val="bullet"/>
      <w:lvlText w:val="•"/>
      <w:lvlJc w:val="left"/>
      <w:pPr>
        <w:ind w:left="3250" w:hanging="221"/>
      </w:pPr>
      <w:rPr>
        <w:rFonts w:hint="default"/>
        <w:lang w:val="fr-FR" w:eastAsia="en-US" w:bidi="ar-SA"/>
      </w:rPr>
    </w:lvl>
    <w:lvl w:ilvl="4" w:tplc="B276D8D4">
      <w:numFmt w:val="bullet"/>
      <w:lvlText w:val="•"/>
      <w:lvlJc w:val="left"/>
      <w:pPr>
        <w:ind w:left="4115" w:hanging="221"/>
      </w:pPr>
      <w:rPr>
        <w:rFonts w:hint="default"/>
        <w:lang w:val="fr-FR" w:eastAsia="en-US" w:bidi="ar-SA"/>
      </w:rPr>
    </w:lvl>
    <w:lvl w:ilvl="5" w:tplc="D6B45234">
      <w:numFmt w:val="bullet"/>
      <w:lvlText w:val="•"/>
      <w:lvlJc w:val="left"/>
      <w:pPr>
        <w:ind w:left="4980" w:hanging="221"/>
      </w:pPr>
      <w:rPr>
        <w:rFonts w:hint="default"/>
        <w:lang w:val="fr-FR" w:eastAsia="en-US" w:bidi="ar-SA"/>
      </w:rPr>
    </w:lvl>
    <w:lvl w:ilvl="6" w:tplc="27DC9022">
      <w:numFmt w:val="bullet"/>
      <w:lvlText w:val="•"/>
      <w:lvlJc w:val="left"/>
      <w:pPr>
        <w:ind w:left="5845" w:hanging="221"/>
      </w:pPr>
      <w:rPr>
        <w:rFonts w:hint="default"/>
        <w:lang w:val="fr-FR" w:eastAsia="en-US" w:bidi="ar-SA"/>
      </w:rPr>
    </w:lvl>
    <w:lvl w:ilvl="7" w:tplc="E89C706C">
      <w:numFmt w:val="bullet"/>
      <w:lvlText w:val="•"/>
      <w:lvlJc w:val="left"/>
      <w:pPr>
        <w:ind w:left="6710" w:hanging="221"/>
      </w:pPr>
      <w:rPr>
        <w:rFonts w:hint="default"/>
        <w:lang w:val="fr-FR" w:eastAsia="en-US" w:bidi="ar-SA"/>
      </w:rPr>
    </w:lvl>
    <w:lvl w:ilvl="8" w:tplc="83B674F8">
      <w:numFmt w:val="bullet"/>
      <w:lvlText w:val="•"/>
      <w:lvlJc w:val="left"/>
      <w:pPr>
        <w:ind w:left="7576" w:hanging="221"/>
      </w:pPr>
      <w:rPr>
        <w:rFonts w:hint="default"/>
        <w:lang w:val="fr-FR" w:eastAsia="en-US" w:bidi="ar-SA"/>
      </w:rPr>
    </w:lvl>
  </w:abstractNum>
  <w:abstractNum w:abstractNumId="2" w15:restartNumberingAfterBreak="0">
    <w:nsid w:val="38D90F6D"/>
    <w:multiLevelType w:val="hybridMultilevel"/>
    <w:tmpl w:val="08D421A2"/>
    <w:lvl w:ilvl="0" w:tplc="9B26A642">
      <w:start w:val="1"/>
      <w:numFmt w:val="decimal"/>
      <w:lvlText w:val="%1"/>
      <w:lvlJc w:val="left"/>
      <w:pPr>
        <w:ind w:left="318" w:hanging="151"/>
      </w:pPr>
      <w:rPr>
        <w:rFonts w:ascii="Arial" w:eastAsia="Arial" w:hAnsi="Arial" w:cs="Arial" w:hint="default"/>
        <w:b/>
        <w:bCs/>
        <w:i w:val="0"/>
        <w:iCs w:val="0"/>
        <w:color w:val="7C66EF"/>
        <w:w w:val="100"/>
        <w:sz w:val="18"/>
        <w:szCs w:val="18"/>
        <w:lang w:val="fr-FR" w:eastAsia="en-US" w:bidi="ar-SA"/>
      </w:rPr>
    </w:lvl>
    <w:lvl w:ilvl="1" w:tplc="B32AD9DC">
      <w:numFmt w:val="bullet"/>
      <w:lvlText w:val="•"/>
      <w:lvlJc w:val="left"/>
      <w:pPr>
        <w:ind w:left="1368" w:hanging="151"/>
      </w:pPr>
      <w:rPr>
        <w:rFonts w:hint="default"/>
        <w:lang w:val="fr-FR" w:eastAsia="en-US" w:bidi="ar-SA"/>
      </w:rPr>
    </w:lvl>
    <w:lvl w:ilvl="2" w:tplc="7ECCC762">
      <w:numFmt w:val="bullet"/>
      <w:lvlText w:val="•"/>
      <w:lvlJc w:val="left"/>
      <w:pPr>
        <w:ind w:left="2417" w:hanging="151"/>
      </w:pPr>
      <w:rPr>
        <w:rFonts w:hint="default"/>
        <w:lang w:val="fr-FR" w:eastAsia="en-US" w:bidi="ar-SA"/>
      </w:rPr>
    </w:lvl>
    <w:lvl w:ilvl="3" w:tplc="A46C538C">
      <w:numFmt w:val="bullet"/>
      <w:lvlText w:val="•"/>
      <w:lvlJc w:val="left"/>
      <w:pPr>
        <w:ind w:left="3465" w:hanging="151"/>
      </w:pPr>
      <w:rPr>
        <w:rFonts w:hint="default"/>
        <w:lang w:val="fr-FR" w:eastAsia="en-US" w:bidi="ar-SA"/>
      </w:rPr>
    </w:lvl>
    <w:lvl w:ilvl="4" w:tplc="92B6D0E2">
      <w:numFmt w:val="bullet"/>
      <w:lvlText w:val="•"/>
      <w:lvlJc w:val="left"/>
      <w:pPr>
        <w:ind w:left="4514" w:hanging="151"/>
      </w:pPr>
      <w:rPr>
        <w:rFonts w:hint="default"/>
        <w:lang w:val="fr-FR" w:eastAsia="en-US" w:bidi="ar-SA"/>
      </w:rPr>
    </w:lvl>
    <w:lvl w:ilvl="5" w:tplc="E35E2B2C">
      <w:numFmt w:val="bullet"/>
      <w:lvlText w:val="•"/>
      <w:lvlJc w:val="left"/>
      <w:pPr>
        <w:ind w:left="5562" w:hanging="151"/>
      </w:pPr>
      <w:rPr>
        <w:rFonts w:hint="default"/>
        <w:lang w:val="fr-FR" w:eastAsia="en-US" w:bidi="ar-SA"/>
      </w:rPr>
    </w:lvl>
    <w:lvl w:ilvl="6" w:tplc="A4EC9490">
      <w:numFmt w:val="bullet"/>
      <w:lvlText w:val="•"/>
      <w:lvlJc w:val="left"/>
      <w:pPr>
        <w:ind w:left="6611" w:hanging="151"/>
      </w:pPr>
      <w:rPr>
        <w:rFonts w:hint="default"/>
        <w:lang w:val="fr-FR" w:eastAsia="en-US" w:bidi="ar-SA"/>
      </w:rPr>
    </w:lvl>
    <w:lvl w:ilvl="7" w:tplc="ECA62DC8">
      <w:numFmt w:val="bullet"/>
      <w:lvlText w:val="•"/>
      <w:lvlJc w:val="left"/>
      <w:pPr>
        <w:ind w:left="7659" w:hanging="151"/>
      </w:pPr>
      <w:rPr>
        <w:rFonts w:hint="default"/>
        <w:lang w:val="fr-FR" w:eastAsia="en-US" w:bidi="ar-SA"/>
      </w:rPr>
    </w:lvl>
    <w:lvl w:ilvl="8" w:tplc="DC4619F6">
      <w:numFmt w:val="bullet"/>
      <w:lvlText w:val="•"/>
      <w:lvlJc w:val="left"/>
      <w:pPr>
        <w:ind w:left="8708" w:hanging="151"/>
      </w:pPr>
      <w:rPr>
        <w:rFonts w:hint="default"/>
        <w:lang w:val="fr-FR" w:eastAsia="en-US" w:bidi="ar-SA"/>
      </w:rPr>
    </w:lvl>
  </w:abstractNum>
  <w:abstractNum w:abstractNumId="3" w15:restartNumberingAfterBreak="0">
    <w:nsid w:val="3C2D59E6"/>
    <w:multiLevelType w:val="hybridMultilevel"/>
    <w:tmpl w:val="3E582E1A"/>
    <w:lvl w:ilvl="0" w:tplc="257A14D0">
      <w:numFmt w:val="bullet"/>
      <w:lvlText w:val="-"/>
      <w:lvlJc w:val="left"/>
      <w:pPr>
        <w:ind w:left="168" w:hanging="110"/>
      </w:pPr>
      <w:rPr>
        <w:rFonts w:ascii="Arial" w:eastAsia="Arial" w:hAnsi="Arial" w:cs="Arial" w:hint="default"/>
        <w:b w:val="0"/>
        <w:bCs w:val="0"/>
        <w:i w:val="0"/>
        <w:iCs w:val="0"/>
        <w:color w:val="494949"/>
        <w:w w:val="100"/>
        <w:sz w:val="18"/>
        <w:szCs w:val="18"/>
        <w:lang w:val="fr-FR" w:eastAsia="en-US" w:bidi="ar-SA"/>
      </w:rPr>
    </w:lvl>
    <w:lvl w:ilvl="1" w:tplc="C4A8DE3E">
      <w:numFmt w:val="bullet"/>
      <w:lvlText w:val="•"/>
      <w:lvlJc w:val="left"/>
      <w:pPr>
        <w:ind w:left="669" w:hanging="110"/>
      </w:pPr>
      <w:rPr>
        <w:rFonts w:hint="default"/>
        <w:lang w:val="fr-FR" w:eastAsia="en-US" w:bidi="ar-SA"/>
      </w:rPr>
    </w:lvl>
    <w:lvl w:ilvl="2" w:tplc="AC1648FA">
      <w:numFmt w:val="bullet"/>
      <w:lvlText w:val="•"/>
      <w:lvlJc w:val="left"/>
      <w:pPr>
        <w:ind w:left="1178" w:hanging="110"/>
      </w:pPr>
      <w:rPr>
        <w:rFonts w:hint="default"/>
        <w:lang w:val="fr-FR" w:eastAsia="en-US" w:bidi="ar-SA"/>
      </w:rPr>
    </w:lvl>
    <w:lvl w:ilvl="3" w:tplc="34DC4E98">
      <w:numFmt w:val="bullet"/>
      <w:lvlText w:val="•"/>
      <w:lvlJc w:val="left"/>
      <w:pPr>
        <w:ind w:left="1688" w:hanging="110"/>
      </w:pPr>
      <w:rPr>
        <w:rFonts w:hint="default"/>
        <w:lang w:val="fr-FR" w:eastAsia="en-US" w:bidi="ar-SA"/>
      </w:rPr>
    </w:lvl>
    <w:lvl w:ilvl="4" w:tplc="8566FDC4">
      <w:numFmt w:val="bullet"/>
      <w:lvlText w:val="•"/>
      <w:lvlJc w:val="left"/>
      <w:pPr>
        <w:ind w:left="2197" w:hanging="110"/>
      </w:pPr>
      <w:rPr>
        <w:rFonts w:hint="default"/>
        <w:lang w:val="fr-FR" w:eastAsia="en-US" w:bidi="ar-SA"/>
      </w:rPr>
    </w:lvl>
    <w:lvl w:ilvl="5" w:tplc="E478753A">
      <w:numFmt w:val="bullet"/>
      <w:lvlText w:val="•"/>
      <w:lvlJc w:val="left"/>
      <w:pPr>
        <w:ind w:left="2707" w:hanging="110"/>
      </w:pPr>
      <w:rPr>
        <w:rFonts w:hint="default"/>
        <w:lang w:val="fr-FR" w:eastAsia="en-US" w:bidi="ar-SA"/>
      </w:rPr>
    </w:lvl>
    <w:lvl w:ilvl="6" w:tplc="D2B4BF1C">
      <w:numFmt w:val="bullet"/>
      <w:lvlText w:val="•"/>
      <w:lvlJc w:val="left"/>
      <w:pPr>
        <w:ind w:left="3216" w:hanging="110"/>
      </w:pPr>
      <w:rPr>
        <w:rFonts w:hint="default"/>
        <w:lang w:val="fr-FR" w:eastAsia="en-US" w:bidi="ar-SA"/>
      </w:rPr>
    </w:lvl>
    <w:lvl w:ilvl="7" w:tplc="0E5EA614">
      <w:numFmt w:val="bullet"/>
      <w:lvlText w:val="•"/>
      <w:lvlJc w:val="left"/>
      <w:pPr>
        <w:ind w:left="3726" w:hanging="110"/>
      </w:pPr>
      <w:rPr>
        <w:rFonts w:hint="default"/>
        <w:lang w:val="fr-FR" w:eastAsia="en-US" w:bidi="ar-SA"/>
      </w:rPr>
    </w:lvl>
    <w:lvl w:ilvl="8" w:tplc="F59AD72E">
      <w:numFmt w:val="bullet"/>
      <w:lvlText w:val="•"/>
      <w:lvlJc w:val="left"/>
      <w:pPr>
        <w:ind w:left="4235" w:hanging="110"/>
      </w:pPr>
      <w:rPr>
        <w:rFonts w:hint="default"/>
        <w:lang w:val="fr-FR" w:eastAsia="en-US" w:bidi="ar-SA"/>
      </w:rPr>
    </w:lvl>
  </w:abstractNum>
  <w:abstractNum w:abstractNumId="4" w15:restartNumberingAfterBreak="0">
    <w:nsid w:val="3F9C14C6"/>
    <w:multiLevelType w:val="hybridMultilevel"/>
    <w:tmpl w:val="A4BA0A52"/>
    <w:lvl w:ilvl="0" w:tplc="9FC6FDC8">
      <w:start w:val="1"/>
      <w:numFmt w:val="decimal"/>
      <w:pStyle w:val="Titre2"/>
      <w:lvlText w:val="%1."/>
      <w:lvlJc w:val="left"/>
      <w:pPr>
        <w:ind w:left="426" w:hanging="245"/>
      </w:pPr>
      <w:rPr>
        <w:rFonts w:ascii="Arial" w:eastAsia="Arial" w:hAnsi="Arial" w:cs="Arial" w:hint="default"/>
        <w:b/>
        <w:bCs/>
        <w:i w:val="0"/>
        <w:iCs w:val="0"/>
        <w:color w:val="7C66EF"/>
        <w:spacing w:val="-1"/>
        <w:w w:val="100"/>
        <w:sz w:val="22"/>
        <w:szCs w:val="22"/>
        <w:lang w:val="fr-FR" w:eastAsia="en-US" w:bidi="ar-SA"/>
      </w:rPr>
    </w:lvl>
    <w:lvl w:ilvl="1" w:tplc="5BA4F52E">
      <w:numFmt w:val="bullet"/>
      <w:lvlText w:val="•"/>
      <w:lvlJc w:val="left"/>
      <w:pPr>
        <w:ind w:left="904" w:hanging="245"/>
      </w:pPr>
      <w:rPr>
        <w:rFonts w:hint="default"/>
        <w:lang w:val="fr-FR" w:eastAsia="en-US" w:bidi="ar-SA"/>
      </w:rPr>
    </w:lvl>
    <w:lvl w:ilvl="2" w:tplc="83863614">
      <w:numFmt w:val="bullet"/>
      <w:lvlText w:val="•"/>
      <w:lvlJc w:val="left"/>
      <w:pPr>
        <w:ind w:left="1389" w:hanging="245"/>
      </w:pPr>
      <w:rPr>
        <w:rFonts w:hint="default"/>
        <w:lang w:val="fr-FR" w:eastAsia="en-US" w:bidi="ar-SA"/>
      </w:rPr>
    </w:lvl>
    <w:lvl w:ilvl="3" w:tplc="205E0A44">
      <w:numFmt w:val="bullet"/>
      <w:lvlText w:val="•"/>
      <w:lvlJc w:val="left"/>
      <w:pPr>
        <w:ind w:left="1874" w:hanging="245"/>
      </w:pPr>
      <w:rPr>
        <w:rFonts w:hint="default"/>
        <w:lang w:val="fr-FR" w:eastAsia="en-US" w:bidi="ar-SA"/>
      </w:rPr>
    </w:lvl>
    <w:lvl w:ilvl="4" w:tplc="1486CE14">
      <w:numFmt w:val="bullet"/>
      <w:lvlText w:val="•"/>
      <w:lvlJc w:val="left"/>
      <w:pPr>
        <w:ind w:left="2359" w:hanging="245"/>
      </w:pPr>
      <w:rPr>
        <w:rFonts w:hint="default"/>
        <w:lang w:val="fr-FR" w:eastAsia="en-US" w:bidi="ar-SA"/>
      </w:rPr>
    </w:lvl>
    <w:lvl w:ilvl="5" w:tplc="83E0C8F2">
      <w:numFmt w:val="bullet"/>
      <w:lvlText w:val="•"/>
      <w:lvlJc w:val="left"/>
      <w:pPr>
        <w:ind w:left="2844" w:hanging="245"/>
      </w:pPr>
      <w:rPr>
        <w:rFonts w:hint="default"/>
        <w:lang w:val="fr-FR" w:eastAsia="en-US" w:bidi="ar-SA"/>
      </w:rPr>
    </w:lvl>
    <w:lvl w:ilvl="6" w:tplc="646013C8">
      <w:numFmt w:val="bullet"/>
      <w:lvlText w:val="•"/>
      <w:lvlJc w:val="left"/>
      <w:pPr>
        <w:ind w:left="3329" w:hanging="245"/>
      </w:pPr>
      <w:rPr>
        <w:rFonts w:hint="default"/>
        <w:lang w:val="fr-FR" w:eastAsia="en-US" w:bidi="ar-SA"/>
      </w:rPr>
    </w:lvl>
    <w:lvl w:ilvl="7" w:tplc="634A8530">
      <w:numFmt w:val="bullet"/>
      <w:lvlText w:val="•"/>
      <w:lvlJc w:val="left"/>
      <w:pPr>
        <w:ind w:left="3814" w:hanging="245"/>
      </w:pPr>
      <w:rPr>
        <w:rFonts w:hint="default"/>
        <w:lang w:val="fr-FR" w:eastAsia="en-US" w:bidi="ar-SA"/>
      </w:rPr>
    </w:lvl>
    <w:lvl w:ilvl="8" w:tplc="04C2E244">
      <w:numFmt w:val="bullet"/>
      <w:lvlText w:val="•"/>
      <w:lvlJc w:val="left"/>
      <w:pPr>
        <w:ind w:left="4299" w:hanging="245"/>
      </w:pPr>
      <w:rPr>
        <w:rFonts w:hint="default"/>
        <w:lang w:val="fr-FR"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0F7D"/>
    <w:rsid w:val="00156125"/>
    <w:rsid w:val="002726C0"/>
    <w:rsid w:val="00285BDB"/>
    <w:rsid w:val="00370164"/>
    <w:rsid w:val="005634CF"/>
    <w:rsid w:val="00615414"/>
    <w:rsid w:val="00637351"/>
    <w:rsid w:val="00670F7D"/>
    <w:rsid w:val="00675A67"/>
    <w:rsid w:val="006A3BA1"/>
    <w:rsid w:val="00751F63"/>
    <w:rsid w:val="00A275C5"/>
    <w:rsid w:val="00A95EC7"/>
    <w:rsid w:val="00AF48BB"/>
    <w:rsid w:val="00B92BAC"/>
    <w:rsid w:val="00BC392F"/>
    <w:rsid w:val="00C64C44"/>
    <w:rsid w:val="00CD07A7"/>
    <w:rsid w:val="00D92FA9"/>
    <w:rsid w:val="00E53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96132"/>
  <w15:docId w15:val="{55BD3820-0769-E442-9116-58945224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1"/>
      <w:ind w:left="168"/>
      <w:outlineLvl w:val="0"/>
    </w:pPr>
    <w:rPr>
      <w:b/>
      <w:bCs/>
      <w:sz w:val="26"/>
      <w:szCs w:val="26"/>
    </w:rPr>
  </w:style>
  <w:style w:type="paragraph" w:styleId="Titre2">
    <w:name w:val="heading 2"/>
    <w:basedOn w:val="Normal"/>
    <w:uiPriority w:val="9"/>
    <w:unhideWhenUsed/>
    <w:qFormat/>
    <w:rsid w:val="00615414"/>
    <w:pPr>
      <w:numPr>
        <w:numId w:val="3"/>
      </w:numPr>
      <w:tabs>
        <w:tab w:val="left" w:pos="428"/>
      </w:tabs>
      <w:outlineLvl w:val="1"/>
    </w:pPr>
    <w:rPr>
      <w:b/>
      <w:bCs/>
      <w:color w:val="7C66E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278" w:hanging="111"/>
    </w:pPr>
  </w:style>
  <w:style w:type="paragraph" w:customStyle="1" w:styleId="TableParagraph">
    <w:name w:val="Table Paragraph"/>
    <w:basedOn w:val="Normal"/>
    <w:uiPriority w:val="1"/>
    <w:qFormat/>
    <w:pPr>
      <w:spacing w:before="175"/>
      <w:ind w:left="80"/>
    </w:pPr>
  </w:style>
  <w:style w:type="paragraph" w:styleId="En-tte">
    <w:name w:val="header"/>
    <w:basedOn w:val="Normal"/>
    <w:link w:val="En-tteCar"/>
    <w:uiPriority w:val="99"/>
    <w:unhideWhenUsed/>
    <w:rsid w:val="00615414"/>
    <w:pPr>
      <w:tabs>
        <w:tab w:val="center" w:pos="4536"/>
        <w:tab w:val="right" w:pos="9072"/>
      </w:tabs>
    </w:pPr>
  </w:style>
  <w:style w:type="character" w:customStyle="1" w:styleId="En-tteCar">
    <w:name w:val="En-tête Car"/>
    <w:basedOn w:val="Policepardfaut"/>
    <w:link w:val="En-tte"/>
    <w:uiPriority w:val="99"/>
    <w:rsid w:val="00615414"/>
    <w:rPr>
      <w:rFonts w:ascii="Arial" w:eastAsia="Arial" w:hAnsi="Arial" w:cs="Arial"/>
      <w:lang w:val="fr-FR"/>
    </w:rPr>
  </w:style>
  <w:style w:type="paragraph" w:styleId="Pieddepage">
    <w:name w:val="footer"/>
    <w:basedOn w:val="Normal"/>
    <w:link w:val="PieddepageCar"/>
    <w:uiPriority w:val="99"/>
    <w:unhideWhenUsed/>
    <w:rsid w:val="00615414"/>
    <w:pPr>
      <w:tabs>
        <w:tab w:val="center" w:pos="4536"/>
        <w:tab w:val="right" w:pos="9072"/>
      </w:tabs>
    </w:pPr>
  </w:style>
  <w:style w:type="character" w:customStyle="1" w:styleId="PieddepageCar">
    <w:name w:val="Pied de page Car"/>
    <w:basedOn w:val="Policepardfaut"/>
    <w:link w:val="Pieddepage"/>
    <w:uiPriority w:val="99"/>
    <w:rsid w:val="00615414"/>
    <w:rPr>
      <w:rFonts w:ascii="Arial" w:eastAsia="Arial" w:hAnsi="Arial" w:cs="Arial"/>
      <w:lang w:val="fr-FR"/>
    </w:rPr>
  </w:style>
  <w:style w:type="character" w:styleId="Numrodepage">
    <w:name w:val="page number"/>
    <w:basedOn w:val="Policepardfaut"/>
    <w:uiPriority w:val="99"/>
    <w:semiHidden/>
    <w:unhideWhenUsed/>
    <w:rsid w:val="00B9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A2C7-3553-418D-8D55-9D0FABC0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369</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PICHOU</dc:creator>
  <cp:lastModifiedBy>Alexandra Pichou</cp:lastModifiedBy>
  <cp:revision>3</cp:revision>
  <dcterms:created xsi:type="dcterms:W3CDTF">2021-11-26T10:00:00Z</dcterms:created>
  <dcterms:modified xsi:type="dcterms:W3CDTF">2021-11-26T10:43:00Z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16.4 (Macintosh)</vt:lpwstr>
  </property>
  <property fmtid="{D5CDD505-2E9C-101B-9397-08002B2CF9AE}" pid="4" name="LastSaved">
    <vt:filetime>2021-10-25T00:00:00Z</vt:filetime>
  </property>
</Properties>
</file>